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790B79FC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103F44">
        <w:rPr>
          <w:b/>
          <w:bCs/>
          <w:sz w:val="22"/>
          <w:szCs w:val="22"/>
        </w:rPr>
        <w:t>5</w:t>
      </w:r>
    </w:p>
    <w:p w14:paraId="10E4C926" w14:textId="59CB50EE" w:rsidR="00C34C9D" w:rsidRPr="00C34C9D" w:rsidRDefault="00103F44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103F44">
        <w:rPr>
          <w:noProof/>
        </w:rPr>
        <w:drawing>
          <wp:inline distT="0" distB="0" distL="0" distR="0" wp14:anchorId="32218DDE" wp14:editId="232B597A">
            <wp:extent cx="6858000" cy="321310"/>
            <wp:effectExtent l="0" t="0" r="0" b="0"/>
            <wp:docPr id="1822118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6C82C6F2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</w:t>
      </w:r>
      <w:r w:rsidR="00EA2BA1">
        <w:rPr>
          <w:sz w:val="22"/>
          <w:szCs w:val="22"/>
        </w:rPr>
        <w:t xml:space="preserve">the </w:t>
      </w:r>
      <w:r w:rsidR="00103F44" w:rsidRPr="00103F44">
        <w:rPr>
          <w:sz w:val="22"/>
          <w:szCs w:val="22"/>
        </w:rPr>
        <w:t>Employee Flexible Spending Account/ Health Reimbursement Account</w:t>
      </w:r>
      <w:r w:rsidR="007E6C43">
        <w:rPr>
          <w:sz w:val="24"/>
        </w:rPr>
        <w:t xml:space="preserve">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F90223B" w14:textId="77777777" w:rsidR="004A28CF" w:rsidRPr="00413F0E" w:rsidRDefault="004A28CF" w:rsidP="004A28CF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677E1636" w14:textId="77777777" w:rsidR="004A28CF" w:rsidRPr="00413F0E" w:rsidRDefault="004A28CF" w:rsidP="004A28CF">
      <w:pPr>
        <w:kinsoku w:val="0"/>
        <w:overflowPunct w:val="0"/>
        <w:rPr>
          <w:i/>
          <w:iCs/>
          <w:sz w:val="22"/>
          <w:szCs w:val="22"/>
        </w:rPr>
      </w:pPr>
    </w:p>
    <w:p w14:paraId="6B26FB38" w14:textId="77777777" w:rsidR="004A28CF" w:rsidRPr="00413F0E" w:rsidRDefault="004A28CF" w:rsidP="004A28CF">
      <w:pPr>
        <w:kinsoku w:val="0"/>
        <w:overflowPunct w:val="0"/>
        <w:rPr>
          <w:i/>
          <w:iCs/>
          <w:sz w:val="22"/>
          <w:szCs w:val="22"/>
        </w:rPr>
      </w:pPr>
    </w:p>
    <w:p w14:paraId="518078DF" w14:textId="77777777" w:rsidR="004A28CF" w:rsidRPr="00CE420E" w:rsidRDefault="004A28CF" w:rsidP="004A28CF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48A9E1A5" w14:textId="77777777" w:rsidR="004A28CF" w:rsidRPr="00CE420E" w:rsidRDefault="004A28CF" w:rsidP="004A28CF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38426097" w14:textId="77777777" w:rsidR="004A28CF" w:rsidRPr="00CE420E" w:rsidRDefault="004A28CF" w:rsidP="004A28CF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65805F0A" w14:textId="77777777" w:rsidR="004A28CF" w:rsidRPr="00CE420E" w:rsidRDefault="004A28CF" w:rsidP="004A28CF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08CAE8D7" w14:textId="77777777" w:rsidR="004A28CF" w:rsidRPr="00CE420E" w:rsidRDefault="004A28CF" w:rsidP="004A28CF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6B532A4A" w14:textId="77777777" w:rsidR="004A28CF" w:rsidRPr="00CE420E" w:rsidRDefault="004A28CF" w:rsidP="004A28CF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708A3CD6" w14:textId="77777777" w:rsidR="004A28CF" w:rsidRPr="00CE420E" w:rsidRDefault="004A28CF" w:rsidP="004A28CF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024CC393" w14:textId="77777777" w:rsidR="004A28CF" w:rsidRPr="00413F0E" w:rsidRDefault="004A28CF" w:rsidP="004A28CF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55F78C2F" w14:textId="77777777" w:rsidR="004A28CF" w:rsidRPr="00413F0E" w:rsidRDefault="004A28CF" w:rsidP="004A28CF">
      <w:pPr>
        <w:rPr>
          <w:iCs/>
          <w:sz w:val="22"/>
          <w:szCs w:val="22"/>
        </w:rPr>
      </w:pPr>
    </w:p>
    <w:p w14:paraId="14C9C03F" w14:textId="77777777" w:rsidR="004A28CF" w:rsidRPr="00413F0E" w:rsidRDefault="004A28CF" w:rsidP="004A28CF">
      <w:pPr>
        <w:rPr>
          <w:iCs/>
          <w:sz w:val="22"/>
          <w:szCs w:val="22"/>
        </w:rPr>
      </w:pPr>
    </w:p>
    <w:p w14:paraId="1AE0DAD9" w14:textId="77777777" w:rsidR="004A28CF" w:rsidRPr="00413F0E" w:rsidRDefault="004A28CF" w:rsidP="004A28CF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3F3885E2" w14:textId="77777777" w:rsidR="004A28CF" w:rsidRPr="00413F0E" w:rsidRDefault="004A28CF" w:rsidP="004A28CF">
      <w:pPr>
        <w:pStyle w:val="Default"/>
        <w:rPr>
          <w:color w:val="auto"/>
          <w:sz w:val="22"/>
          <w:szCs w:val="22"/>
        </w:rPr>
      </w:pPr>
    </w:p>
    <w:p w14:paraId="7674FAC7" w14:textId="77777777" w:rsidR="004A28CF" w:rsidRPr="00413F0E" w:rsidRDefault="004A28CF" w:rsidP="004A28CF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00C58FAB" w14:textId="77777777" w:rsidR="004A28CF" w:rsidRDefault="004A28CF" w:rsidP="004A28CF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362551D6" w14:textId="77777777" w:rsidR="004A28CF" w:rsidRDefault="004A28CF" w:rsidP="004A28CF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5713C007" wp14:editId="2BBAADCD">
            <wp:extent cx="1552575" cy="57150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6" cy="5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59DB" w14:textId="77777777" w:rsidR="004A28CF" w:rsidRDefault="004A28CF" w:rsidP="004A28CF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24A10711" w14:textId="77777777" w:rsidR="004A28CF" w:rsidRDefault="004A28CF" w:rsidP="004A28CF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5098EF37" w14:textId="77777777" w:rsidR="004A28CF" w:rsidRDefault="004A28CF" w:rsidP="004A28CF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161DFB3B" w14:textId="77777777" w:rsidR="004A28CF" w:rsidRDefault="004A28CF" w:rsidP="004A28CF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173BCFA4" w14:textId="77777777" w:rsidR="004A28CF" w:rsidRPr="00413F0E" w:rsidRDefault="004A28CF" w:rsidP="004A28CF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6C998BCF" w14:textId="77777777" w:rsidR="004A28CF" w:rsidRPr="00413F0E" w:rsidRDefault="004A28CF" w:rsidP="004A28CF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sectPr w:rsidR="004A28CF" w:rsidRPr="00413F0E" w:rsidSect="0058154B">
      <w:footerReference w:type="default" r:id="rId10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E981" w14:textId="77777777" w:rsidR="0037102C" w:rsidRDefault="0037102C">
      <w:r>
        <w:separator/>
      </w:r>
    </w:p>
  </w:endnote>
  <w:endnote w:type="continuationSeparator" w:id="0">
    <w:p w14:paraId="13B7C2E1" w14:textId="77777777" w:rsidR="0037102C" w:rsidRDefault="0037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1A583249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103F44">
      <w:rPr>
        <w:i/>
        <w:caps/>
      </w:rPr>
      <w:t>5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1D31" w14:textId="77777777" w:rsidR="0037102C" w:rsidRDefault="0037102C">
      <w:r>
        <w:separator/>
      </w:r>
    </w:p>
  </w:footnote>
  <w:footnote w:type="continuationSeparator" w:id="0">
    <w:p w14:paraId="542404A4" w14:textId="77777777" w:rsidR="0037102C" w:rsidRDefault="0037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2683F"/>
    <w:rsid w:val="00042F9C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03F44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7102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28CF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87378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1EC4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4C9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3B42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2BA1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1491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1644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5</cp:revision>
  <cp:lastPrinted>2015-12-08T17:26:00Z</cp:lastPrinted>
  <dcterms:created xsi:type="dcterms:W3CDTF">2026-05-04T16:00:00Z</dcterms:created>
  <dcterms:modified xsi:type="dcterms:W3CDTF">2026-05-04T20:26:00Z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